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8F2" w:rsidRPr="004438F2" w:rsidRDefault="004438F2" w:rsidP="004438F2">
      <w:pPr>
        <w:widowControl w:val="0"/>
        <w:spacing w:line="360" w:lineRule="auto"/>
        <w:ind w:left="992" w:hanging="709"/>
        <w:jc w:val="center"/>
        <w:rPr>
          <w:b/>
          <w:snapToGrid w:val="0"/>
          <w:szCs w:val="20"/>
          <w:u w:val="single"/>
        </w:rPr>
      </w:pPr>
      <w:r w:rsidRPr="004438F2">
        <w:rPr>
          <w:b/>
          <w:snapToGrid w:val="0"/>
          <w:szCs w:val="20"/>
          <w:u w:val="single"/>
        </w:rPr>
        <w:t>FORMY ZABEZPIECZEŃ ZWROTU REFUNDACJI</w:t>
      </w:r>
    </w:p>
    <w:p w:rsidR="004438F2" w:rsidRDefault="004438F2" w:rsidP="004438F2">
      <w:pPr>
        <w:widowControl w:val="0"/>
        <w:spacing w:line="360" w:lineRule="auto"/>
        <w:ind w:left="992" w:hanging="709"/>
        <w:jc w:val="both"/>
        <w:rPr>
          <w:snapToGrid w:val="0"/>
          <w:szCs w:val="20"/>
        </w:rPr>
      </w:pPr>
    </w:p>
    <w:p w:rsidR="004438F2" w:rsidRPr="004438F2" w:rsidRDefault="004438F2" w:rsidP="004438F2">
      <w:pPr>
        <w:widowControl w:val="0"/>
        <w:spacing w:line="360" w:lineRule="auto"/>
        <w:ind w:left="992" w:hanging="709"/>
        <w:jc w:val="both"/>
        <w:rPr>
          <w:iCs/>
          <w:snapToGrid w:val="0"/>
          <w:szCs w:val="20"/>
        </w:rPr>
      </w:pPr>
      <w:r w:rsidRPr="004438F2">
        <w:rPr>
          <w:snapToGrid w:val="0"/>
          <w:szCs w:val="20"/>
        </w:rPr>
        <w:t xml:space="preserve">1) </w:t>
      </w:r>
      <w:r w:rsidRPr="004438F2">
        <w:rPr>
          <w:b/>
          <w:iCs/>
          <w:snapToGrid w:val="0"/>
          <w:szCs w:val="20"/>
        </w:rPr>
        <w:t>poręczenie</w:t>
      </w:r>
      <w:r w:rsidRPr="004438F2">
        <w:rPr>
          <w:iCs/>
          <w:snapToGrid w:val="0"/>
          <w:szCs w:val="20"/>
        </w:rPr>
        <w:t xml:space="preserve"> – jest to umowa cywilnoprawna zawarta pomiędzy poręczycielem(ami)       a Dyrektorem Urzędu. Na mocy tej umowy poręczyciel(e) zobowiązuje(ą) się względem Dyrektora Urzędu wykonać zobowiązania zawarte w umowie </w:t>
      </w:r>
      <w:r w:rsidRPr="004438F2">
        <w:rPr>
          <w:iCs/>
          <w:snapToGrid w:val="0"/>
          <w:szCs w:val="20"/>
        </w:rPr>
        <w:br/>
        <w:t xml:space="preserve">o refundację na wypadek, gdyby Wnioskodawca, z którym została zawarta umowa, zobowiązania nie wykonał. </w:t>
      </w:r>
      <w:r w:rsidRPr="004438F2">
        <w:rPr>
          <w:b/>
          <w:iCs/>
          <w:snapToGrid w:val="0"/>
          <w:szCs w:val="20"/>
        </w:rPr>
        <w:t>Umowa poręczenia zawierana jest w dniu podpisania umowy o refundację.</w:t>
      </w:r>
      <w:r w:rsidRPr="004438F2">
        <w:rPr>
          <w:iCs/>
          <w:sz w:val="20"/>
          <w:szCs w:val="20"/>
        </w:rPr>
        <w:t xml:space="preserve"> </w:t>
      </w:r>
    </w:p>
    <w:p w:rsidR="004438F2" w:rsidRPr="004438F2" w:rsidRDefault="004438F2" w:rsidP="004438F2">
      <w:pPr>
        <w:widowControl w:val="0"/>
        <w:spacing w:line="360" w:lineRule="auto"/>
        <w:ind w:left="992" w:hanging="709"/>
        <w:jc w:val="both"/>
        <w:rPr>
          <w:iCs/>
          <w:snapToGrid w:val="0"/>
          <w:szCs w:val="20"/>
        </w:rPr>
      </w:pPr>
      <w:r w:rsidRPr="004438F2">
        <w:rPr>
          <w:iCs/>
          <w:snapToGrid w:val="0"/>
          <w:szCs w:val="20"/>
        </w:rPr>
        <w:t xml:space="preserve">2) </w:t>
      </w:r>
      <w:r w:rsidRPr="004438F2">
        <w:rPr>
          <w:b/>
          <w:iCs/>
          <w:snapToGrid w:val="0"/>
          <w:szCs w:val="20"/>
        </w:rPr>
        <w:t>weksel z poręczeniem wekslowym (aval)</w:t>
      </w:r>
      <w:r w:rsidRPr="004438F2">
        <w:rPr>
          <w:iCs/>
          <w:snapToGrid w:val="0"/>
          <w:szCs w:val="20"/>
        </w:rPr>
        <w:t xml:space="preserve"> – poręczyciel(e) i wystawca weksla (Wnioskodawca) podpisują weksel oraz deklarację wekslową. Po podpisaniu wskazanych dokumentów poręczyciel(e) odpowiada(ją) solidarnie z wystawcą za zobowiązania wynikające z zawartej umowy o refundację. </w:t>
      </w:r>
      <w:r w:rsidRPr="004438F2">
        <w:rPr>
          <w:b/>
          <w:iCs/>
          <w:snapToGrid w:val="0"/>
          <w:szCs w:val="20"/>
        </w:rPr>
        <w:t>Weksel oraz deklaracja wekslowa podpisywane są w dniu podpisania umowy o refundację</w:t>
      </w:r>
      <w:r w:rsidRPr="004438F2">
        <w:rPr>
          <w:iCs/>
          <w:snapToGrid w:val="0"/>
          <w:szCs w:val="20"/>
        </w:rPr>
        <w:t>.</w:t>
      </w:r>
    </w:p>
    <w:p w:rsidR="004438F2" w:rsidRPr="004438F2" w:rsidRDefault="004438F2" w:rsidP="004438F2">
      <w:pPr>
        <w:widowControl w:val="0"/>
        <w:spacing w:line="360" w:lineRule="auto"/>
        <w:ind w:left="992" w:hanging="709"/>
        <w:jc w:val="both"/>
        <w:rPr>
          <w:iCs/>
          <w:snapToGrid w:val="0"/>
          <w:szCs w:val="20"/>
        </w:rPr>
      </w:pPr>
      <w:r w:rsidRPr="004438F2">
        <w:rPr>
          <w:iCs/>
          <w:snapToGrid w:val="0"/>
          <w:szCs w:val="20"/>
        </w:rPr>
        <w:t xml:space="preserve">3) </w:t>
      </w:r>
      <w:r w:rsidRPr="004438F2">
        <w:rPr>
          <w:b/>
          <w:iCs/>
          <w:snapToGrid w:val="0"/>
          <w:szCs w:val="20"/>
        </w:rPr>
        <w:t xml:space="preserve">gwarancja bankowa - </w:t>
      </w:r>
      <w:r w:rsidRPr="004438F2">
        <w:rPr>
          <w:iCs/>
          <w:snapToGrid w:val="0"/>
          <w:szCs w:val="20"/>
        </w:rPr>
        <w:t xml:space="preserve">jest to umowa zawarta pomiędzy Wnioskodawcą a bankiem, </w:t>
      </w:r>
      <w:r w:rsidR="00997283">
        <w:rPr>
          <w:iCs/>
          <w:snapToGrid w:val="0"/>
          <w:szCs w:val="20"/>
        </w:rPr>
        <w:br/>
      </w:r>
      <w:r w:rsidRPr="004438F2">
        <w:rPr>
          <w:iCs/>
          <w:snapToGrid w:val="0"/>
          <w:szCs w:val="20"/>
        </w:rPr>
        <w:t>w której rolę gwaranta za zobowiązania wynikające z zawartej umowy o refundację przejmuje bank. Kwota gwarancji bankowej obejmować ma kwotę refundacji oraz odsetki ustawowe od tej kwoty obliczone szacunkowo za okres </w:t>
      </w:r>
      <w:r w:rsidR="00997283">
        <w:rPr>
          <w:iCs/>
          <w:snapToGrid w:val="0"/>
          <w:szCs w:val="20"/>
        </w:rPr>
        <w:t>36</w:t>
      </w:r>
      <w:r w:rsidRPr="004438F2">
        <w:rPr>
          <w:iCs/>
          <w:snapToGrid w:val="0"/>
          <w:szCs w:val="20"/>
        </w:rPr>
        <w:t> miesięcy od dnia otrzymania refundacji.</w:t>
      </w:r>
      <w:r w:rsidRPr="004438F2">
        <w:rPr>
          <w:b/>
          <w:iCs/>
          <w:snapToGrid w:val="0"/>
          <w:szCs w:val="20"/>
        </w:rPr>
        <w:t xml:space="preserve"> Gwarancja bankowa (umowa) winna być dostarczona do siedziby urzędu po podpisaniu umowy, a przed wypłatą refundacji.</w:t>
      </w:r>
    </w:p>
    <w:p w:rsidR="004438F2" w:rsidRPr="004438F2" w:rsidRDefault="004438F2" w:rsidP="004438F2">
      <w:pPr>
        <w:widowControl w:val="0"/>
        <w:spacing w:line="360" w:lineRule="auto"/>
        <w:ind w:left="992" w:hanging="709"/>
        <w:jc w:val="both"/>
        <w:rPr>
          <w:iCs/>
          <w:snapToGrid w:val="0"/>
          <w:szCs w:val="20"/>
        </w:rPr>
      </w:pPr>
      <w:r w:rsidRPr="004438F2">
        <w:rPr>
          <w:iCs/>
          <w:snapToGrid w:val="0"/>
          <w:szCs w:val="20"/>
        </w:rPr>
        <w:t>4)</w:t>
      </w:r>
      <w:r w:rsidRPr="004438F2">
        <w:rPr>
          <w:rFonts w:ascii="Arial" w:hAnsi="Arial" w:cs="Arial"/>
          <w:iCs/>
          <w:sz w:val="22"/>
          <w:szCs w:val="20"/>
        </w:rPr>
        <w:t xml:space="preserve"> </w:t>
      </w:r>
      <w:r w:rsidRPr="004438F2">
        <w:rPr>
          <w:b/>
          <w:iCs/>
          <w:snapToGrid w:val="0"/>
          <w:szCs w:val="20"/>
        </w:rPr>
        <w:t>zastaw na prawach lub rzeczach</w:t>
      </w:r>
      <w:r w:rsidRPr="004438F2">
        <w:rPr>
          <w:iCs/>
          <w:snapToGrid w:val="0"/>
          <w:szCs w:val="20"/>
        </w:rPr>
        <w:t xml:space="preserve"> – jest to pisemna umowa zawarta pomiędzy Wnioskodawcą, który jest właścicielem rzeczy (zastawca), którą zamierza oddać w zastaw w celu zabezpieczenia zobowiązań wynikających z umowy, a Dyrektorem Urzędu (zastawnikiem). Do ustanowienia zastawu niezbędne jest również wydanie rzeczy Dyrektorowi Urzędu (zastawnikowi) albo osobie trzeciej, na którą strony się zgodziły. Zastawnik, któremu rzecz została wydana, powinien czuwać nad zachowaniem jej w należytym stanie stosownie do przepisów </w:t>
      </w:r>
      <w:r w:rsidRPr="004438F2">
        <w:rPr>
          <w:iCs/>
          <w:snapToGrid w:val="0"/>
          <w:szCs w:val="20"/>
        </w:rPr>
        <w:br/>
        <w:t xml:space="preserve">o przechowaniu za wynagrodzeniem. Po wykonaniu zobowiązań wynikających </w:t>
      </w:r>
      <w:r w:rsidRPr="004438F2">
        <w:rPr>
          <w:iCs/>
          <w:snapToGrid w:val="0"/>
          <w:szCs w:val="20"/>
        </w:rPr>
        <w:br/>
        <w:t>z umowy o refundację i jej wygaśnięciu zastawnik powinien zwrócić rzecz zastawcy. W przypadku wskazania tej formy zabezpieczenia Wnioskodawca zobowiązany jest do wskazania we wniosku przedmiotu/ów zastawu oraz jego/ich wartości rynkowe, potwierdzonej(ych) przez wycenę rzeczoznawcy. Kwota zastawu obejmować ma kwotę refundacji oraz odsetki ustawowe od tej kwoty obliczone szacunkowo za okres </w:t>
      </w:r>
      <w:r w:rsidR="001A1944">
        <w:rPr>
          <w:iCs/>
          <w:snapToGrid w:val="0"/>
          <w:szCs w:val="20"/>
        </w:rPr>
        <w:t>36</w:t>
      </w:r>
      <w:r w:rsidRPr="004438F2">
        <w:rPr>
          <w:iCs/>
          <w:snapToGrid w:val="0"/>
          <w:szCs w:val="20"/>
        </w:rPr>
        <w:t xml:space="preserve"> miesięcy </w:t>
      </w:r>
      <w:r w:rsidRPr="004438F2">
        <w:rPr>
          <w:b/>
          <w:iCs/>
          <w:snapToGrid w:val="0"/>
          <w:szCs w:val="20"/>
        </w:rPr>
        <w:t xml:space="preserve">Umowa zastawu podpisywana jest </w:t>
      </w:r>
      <w:r w:rsidRPr="004438F2">
        <w:rPr>
          <w:b/>
          <w:iCs/>
          <w:snapToGrid w:val="0"/>
          <w:szCs w:val="20"/>
        </w:rPr>
        <w:br/>
        <w:t>w dniu zawarcia umowy o refundację</w:t>
      </w:r>
      <w:r w:rsidRPr="004438F2">
        <w:rPr>
          <w:iCs/>
          <w:snapToGrid w:val="0"/>
          <w:szCs w:val="20"/>
        </w:rPr>
        <w:t>.</w:t>
      </w:r>
    </w:p>
    <w:p w:rsidR="004438F2" w:rsidRPr="004438F2" w:rsidRDefault="004438F2" w:rsidP="004438F2">
      <w:pPr>
        <w:widowControl w:val="0"/>
        <w:spacing w:line="360" w:lineRule="auto"/>
        <w:ind w:left="992" w:hanging="709"/>
        <w:jc w:val="both"/>
        <w:rPr>
          <w:b/>
          <w:iCs/>
          <w:snapToGrid w:val="0"/>
          <w:szCs w:val="20"/>
        </w:rPr>
      </w:pPr>
      <w:r w:rsidRPr="004438F2">
        <w:rPr>
          <w:iCs/>
          <w:snapToGrid w:val="0"/>
          <w:szCs w:val="20"/>
        </w:rPr>
        <w:lastRenderedPageBreak/>
        <w:t>5)</w:t>
      </w:r>
      <w:r w:rsidRPr="004438F2">
        <w:rPr>
          <w:rFonts w:ascii="Arial" w:hAnsi="Arial" w:cs="Arial"/>
          <w:iCs/>
          <w:sz w:val="22"/>
          <w:szCs w:val="20"/>
        </w:rPr>
        <w:t xml:space="preserve"> </w:t>
      </w:r>
      <w:r w:rsidRPr="004438F2">
        <w:rPr>
          <w:b/>
          <w:iCs/>
          <w:snapToGrid w:val="0"/>
          <w:szCs w:val="20"/>
        </w:rPr>
        <w:t>blokada środków zgromadzonych na rachunku bankowym</w:t>
      </w:r>
      <w:r w:rsidRPr="004438F2">
        <w:rPr>
          <w:iCs/>
          <w:snapToGrid w:val="0"/>
          <w:szCs w:val="20"/>
        </w:rPr>
        <w:t xml:space="preserve"> – przyjmuje formę zaświadczenia wydanego przez bank, w którym Wnioskodawca posiada wyodrębniony rachunek lub lokatę terminową. Kwota zablokowanych środków obejmować ma kwotę refundacji oraz odsetki ustawowe od tej kwoty obliczone szacunkowo za okres </w:t>
      </w:r>
      <w:r w:rsidR="001A1944">
        <w:rPr>
          <w:iCs/>
          <w:snapToGrid w:val="0"/>
          <w:szCs w:val="20"/>
        </w:rPr>
        <w:t>36</w:t>
      </w:r>
      <w:r w:rsidRPr="004438F2">
        <w:rPr>
          <w:iCs/>
          <w:snapToGrid w:val="0"/>
          <w:szCs w:val="20"/>
        </w:rPr>
        <w:t xml:space="preserve"> miesięcy od dnia otrzymania refundacji</w:t>
      </w:r>
      <w:r w:rsidRPr="004438F2">
        <w:rPr>
          <w:b/>
          <w:iCs/>
          <w:snapToGrid w:val="0"/>
          <w:szCs w:val="20"/>
        </w:rPr>
        <w:t xml:space="preserve"> Z</w:t>
      </w:r>
      <w:r w:rsidRPr="004438F2">
        <w:rPr>
          <w:b/>
          <w:snapToGrid w:val="0"/>
          <w:szCs w:val="20"/>
        </w:rPr>
        <w:t xml:space="preserve">aświadczenie o ustanowieniu blokady środków na rachunku bankowym oraz kopie dyspozycji blokady środków i udzielenia pełnomocnictwa </w:t>
      </w:r>
      <w:r w:rsidRPr="004438F2">
        <w:rPr>
          <w:b/>
          <w:iCs/>
          <w:snapToGrid w:val="0"/>
          <w:szCs w:val="20"/>
        </w:rPr>
        <w:t xml:space="preserve">należy dostarczyć po podpisaniu umowy a przed wypłatą refundacji. </w:t>
      </w:r>
    </w:p>
    <w:p w:rsidR="004438F2" w:rsidRPr="004438F2" w:rsidRDefault="004438F2" w:rsidP="004438F2">
      <w:pPr>
        <w:widowControl w:val="0"/>
        <w:spacing w:line="360" w:lineRule="auto"/>
        <w:ind w:left="993" w:hanging="709"/>
        <w:jc w:val="both"/>
        <w:rPr>
          <w:b/>
          <w:snapToGrid w:val="0"/>
          <w:szCs w:val="20"/>
        </w:rPr>
      </w:pPr>
      <w:r w:rsidRPr="004438F2">
        <w:rPr>
          <w:iCs/>
          <w:snapToGrid w:val="0"/>
          <w:szCs w:val="20"/>
        </w:rPr>
        <w:t>6)</w:t>
      </w:r>
      <w:r w:rsidRPr="004438F2">
        <w:rPr>
          <w:rFonts w:ascii="Arial" w:hAnsi="Arial" w:cs="Arial"/>
          <w:iCs/>
          <w:sz w:val="22"/>
          <w:szCs w:val="20"/>
        </w:rPr>
        <w:t xml:space="preserve"> </w:t>
      </w:r>
      <w:r w:rsidRPr="004438F2">
        <w:rPr>
          <w:b/>
          <w:iCs/>
          <w:snapToGrid w:val="0"/>
          <w:szCs w:val="20"/>
        </w:rPr>
        <w:t>akt notarialny o poddaniu się egzekucji przez dłużnika</w:t>
      </w:r>
      <w:r w:rsidRPr="004438F2">
        <w:rPr>
          <w:iCs/>
          <w:snapToGrid w:val="0"/>
          <w:szCs w:val="20"/>
        </w:rPr>
        <w:t xml:space="preserve"> – upoważnia wierzyciela do prowadzenia przeciwko dłużnikowi egzekucji na podstawie tego aktu </w:t>
      </w:r>
      <w:r w:rsidR="00F34291">
        <w:rPr>
          <w:iCs/>
          <w:snapToGrid w:val="0"/>
          <w:szCs w:val="20"/>
        </w:rPr>
        <w:t>do wysokości kwoty odpowiadającej refundacji wraz z odsetkami ustawowymi, obliczonymi szacunkowo za okres 36 miesięcy,</w:t>
      </w:r>
      <w:r w:rsidRPr="004438F2">
        <w:rPr>
          <w:iCs/>
          <w:snapToGrid w:val="0"/>
          <w:szCs w:val="20"/>
        </w:rPr>
        <w:t xml:space="preserve"> jak również termin, do którego wierzyciel może wystąpić o nadanie temu aktowi klauzuli wykonalności. Termin ten musi obejmować co najmniej okres 48 miesięcy</w:t>
      </w:r>
      <w:r w:rsidR="00F34291">
        <w:rPr>
          <w:iCs/>
          <w:snapToGrid w:val="0"/>
          <w:szCs w:val="20"/>
        </w:rPr>
        <w:t xml:space="preserve"> od dnia sporządzenia aktu</w:t>
      </w:r>
      <w:r w:rsidRPr="004438F2">
        <w:rPr>
          <w:iCs/>
          <w:snapToGrid w:val="0"/>
          <w:szCs w:val="20"/>
        </w:rPr>
        <w:t>.</w:t>
      </w:r>
      <w:r w:rsidRPr="004438F2">
        <w:rPr>
          <w:snapToGrid w:val="0"/>
          <w:szCs w:val="20"/>
        </w:rPr>
        <w:t xml:space="preserve"> Wnioskodawca winien wykazać dokumentami określonymi przez urząd posiadanie majątku, z którego możliwe będzie prowadzenie ewentualnej egzekucji oraz jego wartości.</w:t>
      </w:r>
      <w:r w:rsidRPr="004438F2">
        <w:rPr>
          <w:i/>
          <w:snapToGrid w:val="0"/>
          <w:szCs w:val="20"/>
        </w:rPr>
        <w:t xml:space="preserve"> </w:t>
      </w:r>
      <w:r w:rsidRPr="004438F2">
        <w:rPr>
          <w:b/>
          <w:iCs/>
          <w:snapToGrid w:val="0"/>
          <w:szCs w:val="20"/>
        </w:rPr>
        <w:t xml:space="preserve">Akt notarialny zostaje sporządzony po podpisaniu umowy. Przed notariuszem winien stawić się Wnioskodawca będący osobą fizyczną wraz ze współmałżonkiem, jeżeli pozostają oni we wspólności majątkowej, </w:t>
      </w:r>
      <w:r w:rsidR="001178C3">
        <w:rPr>
          <w:b/>
          <w:iCs/>
          <w:snapToGrid w:val="0"/>
          <w:szCs w:val="20"/>
        </w:rPr>
        <w:br/>
      </w:r>
      <w:bookmarkStart w:id="0" w:name="_GoBack"/>
      <w:bookmarkEnd w:id="0"/>
      <w:r w:rsidRPr="004438F2">
        <w:rPr>
          <w:b/>
          <w:iCs/>
          <w:snapToGrid w:val="0"/>
          <w:szCs w:val="20"/>
        </w:rPr>
        <w:t>a w przypadku osoby prawnej, niepublicznego przedszkola lub niepublicznej szkoły - osoby upoważnione do jej reprezentacji.</w:t>
      </w:r>
      <w:r w:rsidRPr="004438F2">
        <w:rPr>
          <w:b/>
          <w:snapToGrid w:val="0"/>
          <w:szCs w:val="20"/>
        </w:rPr>
        <w:t xml:space="preserve"> Akt notarialny winien być dostarczony do urzędu przed wypłatą refundacji.</w:t>
      </w:r>
    </w:p>
    <w:p w:rsidR="006D2837" w:rsidRPr="004438F2" w:rsidRDefault="006D2837" w:rsidP="004438F2"/>
    <w:sectPr w:rsidR="006D2837" w:rsidRPr="004438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440735"/>
    <w:multiLevelType w:val="hybridMultilevel"/>
    <w:tmpl w:val="DB24A570"/>
    <w:lvl w:ilvl="0" w:tplc="FFFFFFFF">
      <w:start w:val="1"/>
      <w:numFmt w:val="decimal"/>
      <w:lvlText w:val="%1)"/>
      <w:lvlJc w:val="left"/>
      <w:pPr>
        <w:tabs>
          <w:tab w:val="num" w:pos="720"/>
        </w:tabs>
        <w:ind w:left="720" w:hanging="360"/>
      </w:pPr>
      <w:rPr>
        <w:rFonts w:hint="default"/>
        <w:b w:val="0"/>
      </w:rPr>
    </w:lvl>
    <w:lvl w:ilvl="1" w:tplc="FFFFFFFF">
      <w:start w:val="1"/>
      <w:numFmt w:val="bullet"/>
      <w:lvlText w:val="-"/>
      <w:lvlJc w:val="left"/>
      <w:pPr>
        <w:tabs>
          <w:tab w:val="num" w:pos="1440"/>
        </w:tabs>
        <w:ind w:left="1440" w:hanging="360"/>
      </w:pPr>
      <w:rPr>
        <w:rFonts w:ascii="Times New Roman" w:eastAsia="Times New Roman" w:hAnsi="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78E"/>
    <w:rsid w:val="001178C3"/>
    <w:rsid w:val="001A1944"/>
    <w:rsid w:val="004438F2"/>
    <w:rsid w:val="00530E96"/>
    <w:rsid w:val="006D2837"/>
    <w:rsid w:val="00761835"/>
    <w:rsid w:val="00946B1C"/>
    <w:rsid w:val="00997283"/>
    <w:rsid w:val="00C15C0D"/>
    <w:rsid w:val="00E5078E"/>
    <w:rsid w:val="00F34291"/>
    <w:rsid w:val="00FF05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5078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E5078E"/>
    <w:pPr>
      <w:jc w:val="both"/>
    </w:pPr>
  </w:style>
  <w:style w:type="character" w:customStyle="1" w:styleId="TekstpodstawowyZnak">
    <w:name w:val="Tekst podstawowy Znak"/>
    <w:basedOn w:val="Domylnaczcionkaakapitu"/>
    <w:link w:val="Tekstpodstawowy"/>
    <w:semiHidden/>
    <w:rsid w:val="00E5078E"/>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5078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E5078E"/>
    <w:pPr>
      <w:jc w:val="both"/>
    </w:pPr>
  </w:style>
  <w:style w:type="character" w:customStyle="1" w:styleId="TekstpodstawowyZnak">
    <w:name w:val="Tekst podstawowy Znak"/>
    <w:basedOn w:val="Domylnaczcionkaakapitu"/>
    <w:link w:val="Tekstpodstawowy"/>
    <w:semiHidden/>
    <w:rsid w:val="00E5078E"/>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554</Words>
  <Characters>3325</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joapyt</dc:creator>
  <cp:lastModifiedBy>joapyt</cp:lastModifiedBy>
  <cp:revision>8</cp:revision>
  <dcterms:created xsi:type="dcterms:W3CDTF">2013-02-08T08:44:00Z</dcterms:created>
  <dcterms:modified xsi:type="dcterms:W3CDTF">2014-02-03T13:48:00Z</dcterms:modified>
</cp:coreProperties>
</file>